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1D" w:rsidRDefault="00AC320C">
      <w:r w:rsidRPr="00AC320C">
        <w:t>http://www.strill.it/citta/cosenza/2017/10/cosenza-camera-di-commercio-destina-190mila-euro-a-progetto-per-lavoro/</w:t>
      </w:r>
    </w:p>
    <w:sectPr w:rsidR="007E131D" w:rsidSect="007E1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C320C"/>
    <w:rsid w:val="007B6B8C"/>
    <w:rsid w:val="007E131D"/>
    <w:rsid w:val="00AC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3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2</cp:revision>
  <dcterms:created xsi:type="dcterms:W3CDTF">2017-10-04T16:42:00Z</dcterms:created>
  <dcterms:modified xsi:type="dcterms:W3CDTF">2017-10-04T16:43:00Z</dcterms:modified>
</cp:coreProperties>
</file>